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Паспорт </w:t>
      </w:r>
      <w:r>
        <w:rPr>
          <w:rFonts w:ascii="Times New Roman" w:hAnsi="Times New Roman"/>
          <w:b/>
          <w:sz w:val="28"/>
        </w:rPr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инвестиционной площадки</w:t>
      </w:r>
      <w:r>
        <w:rPr>
          <w:rFonts w:ascii="Times New Roman" w:hAnsi="Times New Roman"/>
          <w:b/>
          <w:sz w:val="28"/>
        </w:rPr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Анжеро-Судженск, площадка </w:t>
      </w:r>
      <w:r>
        <w:rPr>
          <w:rFonts w:ascii="Times New Roman" w:hAnsi="Times New Roman"/>
          <w:b/>
          <w:sz w:val="28"/>
        </w:rPr>
        <w:t>ликвидированного промышленного предприятия</w:t>
      </w:r>
      <w:r>
        <w:rPr>
          <w:rFonts w:ascii="Times New Roman" w:hAnsi="Times New Roman"/>
          <w:b/>
          <w:sz w:val="28"/>
        </w:rPr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spacing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Рекомендуемый</w:t>
      </w:r>
      <w:r>
        <w:rPr>
          <w:rFonts w:ascii="Times New Roman" w:hAnsi="Times New Roman"/>
          <w:i/>
        </w:rPr>
        <w:t xml:space="preserve"> формат наименования инвестиционной площадки: МО, наименования площадки</w:t>
      </w:r>
      <w:r>
        <w:rPr>
          <w:rFonts w:ascii="Times New Roman" w:hAnsi="Times New Roman"/>
          <w:i/>
        </w:rPr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794"/>
        <w:gridCol w:w="6266"/>
      </w:tblGrid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</w:rPr>
              <w:t>Инвестиционная площадка П1- производственная зона</w:t>
            </w:r>
            <w:r>
              <w:rPr>
                <w:rFonts w:ascii="Times New Roman" w:hAnsi="Times New Roman"/>
                <w:sz w:val="16"/>
              </w:rPr>
              <w:t xml:space="preserve">                                                                                  </w:t>
            </w:r>
            <w:r>
              <w:rPr>
                <w:rFonts w:ascii="Times New Roman" w:hAnsi="Times New Roman"/>
                <w:sz w:val="16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(указывается возможное использование </w:t>
            </w:r>
          </w:p>
        </w:tc>
      </w:tr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промышленная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 Положение и окружение инвестиционной площадки </w:t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600" w:firstRow="0" w:lastRow="0" w:firstColumn="0" w:lastColumn="0" w:noHBand="1" w:noVBand="1"/>
      </w:tblPr>
      <w:tblGrid>
        <w:gridCol w:w="3673"/>
        <w:gridCol w:w="6361"/>
      </w:tblGrid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Кемеровская область, г. Анжеро-Судженск, ул. Горноспасательная</w:t>
            </w:r>
          </w:p>
        </w:tc>
      </w:tr>
      <w:tr>
        <w:trPr>
          <w:cantSplit w:val="0"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объектов (в км):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9,7 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Расстояние по прямой </w:t>
            </w:r>
            <w:r>
              <w:t>0,052</w:t>
            </w:r>
            <w:r>
              <w:rPr>
                <w:rFonts w:ascii="Times New Roman" w:hAnsi="Times New Roman"/>
              </w:rPr>
              <w:t>км</w:t>
            </w: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по дорогам общего пользования 0,07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границе площадки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грунтовое покрытие 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границе площадки нет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расстоянии 3,6 км от границы площадки по дорогам общего пользования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109,2км Название аэропорта Международный аэропорт Кемерово им. А.А. Леонова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км. № полигона в ГРОРО 42-00322-З-00552-070715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Ровная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 Правовой статус инвестиционной площадки</w:t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823"/>
        <w:gridCol w:w="6237"/>
      </w:tblGrid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муниципальная собственность</w:t>
            </w:r>
          </w:p>
        </w:tc>
      </w:tr>
      <w:tr>
        <w:trPr>
          <w:cantSplit w:val="0"/>
          <w:trHeight w:val="311" w:hRule="atLeast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Категория земель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земли населенных пунктов  </w:t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не проведено</w:t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jc w:val="both"/>
              <w:widowControl w:val="0"/>
            </w:pPr>
            <w:r>
              <w:t>1) 42:20:0103020:781</w:t>
            </w:r>
          </w:p>
          <w:p>
            <w:pPr>
              <w:spacing/>
              <w:jc w:val="both"/>
              <w:widowControl w:val="0"/>
            </w:pPr>
            <w:r>
              <w:t>2) 42:20:0103033:15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t>3) 42:20:0103019:231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 Характеристика территории инвестиционной площадки </w:t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4"/>
        <w:tabOrder w:val="0"/>
        <w:jc w:val="left"/>
        <w:tblInd w:w="0" w:type="dxa"/>
        <w:tblW w:w="10044" w:type="dxa"/>
        <w:tblLook w:val="0600" w:firstRow="0" w:lastRow="0" w:firstColumn="0" w:lastColumn="0" w:noHBand="1" w:noVBand="1"/>
      </w:tblPr>
      <w:tblGrid>
        <w:gridCol w:w="4388"/>
        <w:gridCol w:w="5656"/>
      </w:tblGrid>
      <w:tr>
        <w:trPr>
          <w:cantSplit w:val="0"/>
          <w:trHeight w:val="853" w:hRule="atLeast"/>
        </w:trPr>
        <w:tc>
          <w:tcPr>
            <w:tcW w:w="43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Площадь, в га</w:t>
            </w:r>
          </w:p>
        </w:tc>
        <w:tc>
          <w:tcPr>
            <w:tcW w:w="565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ind w:left="0" w:firstLine="708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1)5,67</w:t>
            </w:r>
          </w:p>
          <w:p>
            <w:pPr>
              <w:ind w:left="0" w:firstLine="708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2)4,44</w:t>
            </w:r>
          </w:p>
          <w:p>
            <w:pPr>
              <w:ind w:left="0" w:firstLine="708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 3,33</w:t>
            </w:r>
          </w:p>
        </w:tc>
      </w:tr>
      <w:tr>
        <w:trPr>
          <w:cantSplit w:val="0"/>
          <w:trHeight w:val="590" w:hRule="atLeast"/>
        </w:trPr>
        <w:tc>
          <w:tcPr>
            <w:tcW w:w="43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Возможность расширения</w:t>
            </w:r>
          </w:p>
        </w:tc>
        <w:tc>
          <w:tcPr>
            <w:tcW w:w="565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есть 1- до 6,17 га; 2- до 4,8</w:t>
            </w:r>
            <w:r>
              <w:rPr>
                <w:rFonts w:ascii="Times New Roman" w:hAnsi="Times New Roman"/>
              </w:rPr>
              <w:t xml:space="preserve"> га; 3- до </w:t>
            </w:r>
            <w:r>
              <w:rPr>
                <w:rFonts w:ascii="Times New Roman" w:hAnsi="Times New Roman"/>
              </w:rPr>
              <w:t>3,6</w:t>
            </w:r>
            <w:r>
              <w:rPr>
                <w:rFonts w:ascii="Times New Roman" w:hAnsi="Times New Roman"/>
              </w:rPr>
              <w:t xml:space="preserve"> га.</w:t>
            </w:r>
            <w:r>
              <w:rPr>
                <w:rFonts w:ascii="Times New Roman" w:hAnsi="Times New Roman"/>
              </w:rPr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нет</w:t>
            </w:r>
          </w:p>
        </w:tc>
      </w:tr>
      <w:tr>
        <w:trPr>
          <w:cantSplit w:val="0"/>
          <w:trHeight w:val="575" w:hRule="atLeast"/>
        </w:trPr>
        <w:tc>
          <w:tcPr>
            <w:tcW w:w="43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Стоимость ориентировочная, тыс.руб.</w:t>
            </w:r>
            <w:r>
              <w:rPr>
                <w:rFonts w:ascii="Times New Roman" w:hAnsi="Times New Roman"/>
              </w:rPr>
            </w:r>
          </w:p>
        </w:tc>
        <w:tc>
          <w:tcPr>
            <w:tcW w:w="565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Приобретения 1- 111 973; 2- 94 318; 3- 66 221.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Аренды в месяц 1- 114; 2- 96; 3- 67.</w:t>
            </w:r>
          </w:p>
        </w:tc>
      </w:tr>
      <w:tr>
        <w:trPr>
          <w:cantSplit w:val="0"/>
          <w:trHeight w:val="1247" w:hRule="atLeast"/>
        </w:trPr>
        <w:tc>
          <w:tcPr>
            <w:tcW w:w="43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Возможные меры поддержки</w:t>
            </w:r>
          </w:p>
        </w:tc>
        <w:tc>
          <w:tcPr>
            <w:tcW w:w="565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ТОСЭР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ОЭЗ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МКК Госфонд Кемеровской области </w:t>
            </w:r>
          </w:p>
        </w:tc>
      </w:tr>
    </w:tbl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 Характеристика инженерной инфраструктуры инвестиционной площадки*</w:t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>
        <w:trPr>
          <w:cantSplit w:val="0"/>
          <w:trHeight w:val="270" w:hRule="atLeast"/>
        </w:trPr>
        <w:tc>
          <w:tcPr>
            <w:tcW w:w="1384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ind w:left="-108" w:firstLine="0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ресурса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Поставщик ресурса</w:t>
            </w:r>
          </w:p>
        </w:tc>
      </w:tr>
      <w:tr>
        <w:trPr>
          <w:cantSplit w:val="0"/>
          <w:trHeight w:val="222" w:hRule="atLeast"/>
        </w:trPr>
        <w:tc>
          <w:tcPr>
            <w:tcW w:w="1384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/>
        </w:tc>
        <w:tc>
          <w:tcPr>
            <w:tcW w:w="851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/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cantSplit w:val="0"/>
          <w:trHeight w:val="276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cantSplit w:val="0"/>
          <w:trHeight w:val="33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Гкал/час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cantSplit w:val="0"/>
          <w:trHeight w:val="289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Электроэнергия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1) КТП-24,250 кВа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2)КТП-236,100кВа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3) КТП-236,100кВа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531кВт(без учета строительсвта новых ТП)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11,26-11,64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ПАО "Кузбассэнергосбыт"</w:t>
            </w:r>
          </w:p>
        </w:tc>
      </w:tr>
      <w:tr>
        <w:trPr>
          <w:cantSplit w:val="0"/>
          <w:trHeight w:val="280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водопроводной линии – Ø50мм. Гарантированное давление линии водоснабжения – 1атм.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водопроводной линии – Ø50мм. Гарантированное давление линии водоснабжения – 1атм.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0,3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/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60,37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  <w:tr>
        <w:trPr>
          <w:cantSplit w:val="0"/>
          <w:trHeight w:val="26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Водоотведение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линии водоотведения – Ø100мм.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линии водоотведения – Ø100мм.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2,06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/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49,98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</w:tbl>
    <w:p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 Основные параметры расположенных на площадке зданий и сооружений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1"/>
      </w:r>
      <w:r>
        <w:rPr>
          <w:rFonts w:ascii="Times New Roman" w:hAnsi="Times New Roman"/>
          <w:b/>
        </w:rPr>
        <w:t xml:space="preserve">: </w:t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сооружения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Площадь, м</w:t>
            </w:r>
            <w:r>
              <w:rPr>
                <w:rFonts w:ascii="Times New Roman" w:hAnsi="Times New Roman"/>
                <w:sz w:val="16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Этажность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Высота этажа, м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Строительный материал конструкции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Состояние, степень износа, %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Возможность расширения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Использование в настоящее время</w:t>
            </w:r>
          </w:p>
        </w:tc>
      </w:tr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</w:tr>
    </w:tbl>
    <w:p>
      <w:pPr>
        <w:ind w:left="714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tabs defTabSz="708">
          <w:tab w:val="left" w:pos="851" w:leader="none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 Характеристика доступной ресурсно-сырьевой базы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2"/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7"/>
        <w:tabOrder w:val="0"/>
        <w:jc w:val="left"/>
        <w:tblInd w:w="0" w:type="dxa"/>
        <w:tblW w:w="10063" w:type="dxa"/>
        <w:tblLook w:val="0600" w:firstRow="0" w:lastRow="0" w:firstColumn="0" w:lastColumn="0" w:noHBand="1" w:noVBand="1"/>
      </w:tblPr>
      <w:tblGrid>
        <w:gridCol w:w="1527"/>
        <w:gridCol w:w="2835"/>
        <w:gridCol w:w="1844"/>
        <w:gridCol w:w="3857"/>
      </w:tblGrid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Вид ресурсов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Величина разведанных/ подтвержденных запасов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Статус месторождения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Расстояние от границы площадки до месторождения, км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каменный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геологические запасы более 1,5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Яшкинского и Кемеровского районов, от р. Кайгур до г. Анжеро-Судженска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700" w:hRule="atLeast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алюминиевые руды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10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Барзасское месторождение (Единисский, Суховский, Глухаринский, Гавриловский, Золото-Китатский участки, на территории Кемеровского, Яйского и Ижморского районов, от р. Барзас до р. Золотой 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железная руда (магнетитовая)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500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междуречье р. Алчедат и р. Золотой 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кварциты Антоновской группы месторождений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промышленно оцененные запасы составляют 0,5 млрд. тонн;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Пгт. Рудничный 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бурый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около 2,0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(Китатское месторождение, территория Яйского района, по реке Китат между пос. Улановка и пос. Вознесенка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марганцевая руда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82,9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Ижморского и Верх-Чебулинского районов, от р. Кайгагат до р. Заломная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диабазы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vertAlign w:val="superscript"/>
              </w:rPr>
              <w:t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Кемеровского района, Васильевское месторождение (недалеко от пос. Барзас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глины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имеет запасы категории В - 66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расположено в 9 км от ст. Анжерская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минеральные краски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Баранцовское (160 т. тн); Тайгинское (2246 т.тн); Халдеевское (25 т.тн.);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Яйского, Яшкинского районов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7. Трудовые ресурсы</w:t>
      </w:r>
    </w:p>
    <w:tbl>
      <w:tblPr>
        <w:tblStyle w:val="NormalTable"/>
        <w:name w:val="Таблица8"/>
        <w:tabOrder w:val="0"/>
        <w:jc w:val="left"/>
        <w:tblInd w:w="-5" w:type="dxa"/>
        <w:tblW w:w="10065" w:type="dxa"/>
        <w:pPr>
          <w:ind w:left="-5"/>
        </w:pPr>
        <w:tblLook w:val="0600" w:firstRow="0" w:lastRow="0" w:firstColumn="0" w:lastColumn="0" w:noHBand="1" w:noVBand="1"/>
      </w:tblPr>
      <w:tblGrid>
        <w:gridCol w:w="4395"/>
        <w:gridCol w:w="5670"/>
      </w:tblGrid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8. Сведения о владельце (собственнике) площадки:</w:t>
      </w:r>
    </w:p>
    <w:tbl>
      <w:tblPr>
        <w:tblStyle w:val="NormalTable"/>
        <w:name w:val="Таблица9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4390"/>
        <w:gridCol w:w="5670"/>
      </w:tblGrid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Владелец (собственник)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КУМИ администрации Анжеро-Судженского городского округа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Кемеровская область, город Анжеро-Судженск ул. Ленина 6 </w:t>
            </w:r>
          </w:p>
        </w:tc>
      </w:tr>
      <w:tr>
        <w:trPr>
          <w:cantSplit w:val="0"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собственность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лицо: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Ф.И.О., должность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Чемякин Илья Владимирович, начальник управления экономического развития, промышленности и предпринимательства 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Телефон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8(3845) 6-12-79 ; 8(3845)6-56-17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200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86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hyperlink r:id="rId8" w:history="1">
              <w:r>
                <w:rPr>
                  <w:rStyle w:val="char11"/>
                  <w:rFonts w:ascii="Times New Roman" w:hAnsi="Times New Roman"/>
                  <w:sz w:val="22"/>
                </w:rPr>
                <w:t>upp@anzhero.ru</w:t>
              </w:r>
            </w:hyperlink>
            <w:r>
              <w:rPr>
                <w:rFonts w:ascii="Times New Roman" w:hAnsi="Times New Roman"/>
              </w:rPr>
              <w:t xml:space="preserve"> ; </w:t>
            </w:r>
            <w:hyperlink r:id="rId9" w:history="1">
              <w:r>
                <w:rPr>
                  <w:rStyle w:val="char11"/>
                  <w:rFonts w:ascii="Times New Roman" w:hAnsi="Times New Roman"/>
                </w:rPr>
                <w:t>promotdel@anzhero.ru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</w:r>
    </w:p>
    <w:p>
      <w:pPr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284" w:right="851" w:bottom="1134" w:header="0" w:footer="0"/>
          <w:paperSrc w:first="0" w:other="0" a="0" b="0"/>
          <w:pgNumType w:fmt="decimal" w:start="0"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114300" distR="114300">
            <wp:extent cx="8867775" cy="6391275"/>
            <wp:effectExtent l="0" t="0" r="0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extLst>
                        <a:ext uri="sm">
                          <sm:smNativeData xmlns:sm="sm" val="SMDATA_16_miC5a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ACAACfAQAABA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B6AAAAAAAAAAAAAAAAAAAAAAAAAAAAAAAAAAAAAAAAAAAAAAjTYAAFEn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rcRect t="5920" r="4150" b="7720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114300" distR="114300">
            <wp:extent cx="8896350" cy="6410325"/>
            <wp:effectExtent l="0" t="0" r="0" b="0"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extLst>
                        <a:ext uri="sm">
                          <sm:smNativeData xmlns:sm="sm" val="SMDATA_16_miC5a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ACAACAAQAA6gI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lAAAAB6AAAAAAAAAAAAAAAAAAAAAAAAAAAAAAAAAAAAAAAAAAAAAAujYAAG8n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rcRect t="5920" r="3840" b="7460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114300" distR="114300">
            <wp:extent cx="8877300" cy="6400800"/>
            <wp:effectExtent l="0" t="0" r="0" b="0"/>
            <wp:docPr id="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extLst>
                        <a:ext uri="sm">
                          <sm:smNativeData xmlns:sm="sm" val="SMDATA_16_miC5a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0CAACVAQAA6gI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mAAAAB6AAAAAAAAAAAAAAAAAAAAAAAAAAAAAAAAAAAAAAAAAAAAAAnDYAAGAn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rcRect t="6050" r="4050" b="7460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114300" distR="114300">
            <wp:extent cx="8886825" cy="6391275"/>
            <wp:effectExtent l="0" t="0" r="0" b="0"/>
            <wp:docPr id="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extLst>
                        <a:ext uri="sm">
                          <sm:smNativeData xmlns:sm="sm" val="SMDATA_16_miC5a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EMCAACLAQAAEQ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nAAAAB6AAAAAAAAAAAAAAAAAAAAAAAAAAAAAAAAAAAAAAAAAAAAAAqzYAAFEnAAAAAAAAAAAAAAAAAAAoAAAACAAAAAEAAAABAAAA"/>
                        </a:ext>
                      </a:extLst>
                    </pic:cNvPicPr>
                  </pic:nvPicPr>
                  <pic:blipFill>
                    <a:blip r:embed="rId13"/>
                    <a:srcRect t="5790" r="3950" b="7850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114300" distR="114300">
            <wp:extent cx="8858250" cy="6391275"/>
            <wp:effectExtent l="0" t="0" r="0" b="0"/>
            <wp:docPr id="5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/>
                    <pic:cNvPicPr>
                      <a:extLst>
                        <a:ext uri="sm">
                          <sm:smNativeData xmlns:sm="sm" val="SMDATA_16_miC5a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ACAACpAQAABA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oAAAAB6AAAAAAAAAAAAAAAAAAAAAAAAAAAAAAAAAAAAAAAAAAAAAAfjYAAFEnAAAAAAAAAAAAAAAAAAAoAAAACAAAAAEAAAABAAAA"/>
                        </a:ext>
                      </a:extLst>
                    </pic:cNvPicPr>
                  </pic:nvPicPr>
                  <pic:blipFill>
                    <a:blip r:embed="rId14"/>
                    <a:srcRect t="5920" r="4250" b="772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114300" distR="114300">
            <wp:extent cx="8858250" cy="6381750"/>
            <wp:effectExtent l="0" t="0" r="0" b="0"/>
            <wp:docPr id="6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/>
                    <pic:cNvPicPr>
                      <a:extLst>
                        <a:ext uri="sm">
                          <sm:smNativeData xmlns:sm="sm" val="SMDATA_16_miC5a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ACAACpAQAAEQ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pAAAAB6AAAAAAAAAAAAAAAAAAAAAAAAAAAAAAAAAAAAAAAAAAAAAAfjYAAEInAAAAAAAAAAAAAAAAAAAoAAAACAAAAAEAAAABAAAA"/>
                        </a:ext>
                      </a:extLst>
                    </pic:cNvPicPr>
                  </pic:nvPicPr>
                  <pic:blipFill>
                    <a:blip r:embed="rId15"/>
                    <a:srcRect t="5920" r="4250" b="785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ic Roman">
    <w:charset w:val="00"/>
    <w:family w:val="roman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</w:font>
  <w:font w:name="Arial">
    <w:charset w:val="00"/>
    <w:family w:val="auto"/>
    <w:pitch w:val="default"/>
  </w:font>
  <w:font w:name="XO Thames">
    <w:charset w:val="00"/>
    <w:family w:val="roman"/>
    <w:pitch w:val="default"/>
  </w:font>
  <w:font w:name="Segoe UI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1">
    <w:p>
      <w:pPr>
        <w:pStyle w:val="para13"/>
      </w:pPr>
      <w:r>
        <w:rPr>
          <w:vertAlign w:val="superscript"/>
        </w:rPr>
      </w:r>
      <w:r>
        <w:rPr>
          <w:vertAlign w:val="superscript"/>
        </w:rPr>
        <w:footnoteRef/>
      </w:r>
      <w:r>
        <w:t xml:space="preserve"> Заполняется по каждому объекту недвижимости </w:t>
      </w:r>
    </w:p>
  </w:footnote>
  <w:footnote w:id="2">
    <w:p>
      <w:pPr>
        <w:pStyle w:val="para13"/>
      </w:pPr>
      <w:r>
        <w:rPr>
          <w:vertAlign w:val="superscript"/>
        </w:rPr>
      </w:r>
      <w:r>
        <w:rPr>
          <w:vertAlign w:val="superscript"/>
        </w:rPr>
        <w:footnoteRef/>
      </w:r>
      <w:r>
        <w:t>Для инвестиционных площадок производственного назначения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2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2"/>
    <w:tmLastPosSelect w:val="0"/>
    <w:tmLastPosFrameIdx w:val="174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73740186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3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4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5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  <w:lang w:val="ru-ru" w:eastAsia="zh-cn" w:bidi="ar-sa"/>
    </w:rPr>
  </w:style>
  <w:style w:type="paragraph" w:styleId="para6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  <w:lang w:val="ru-ru" w:eastAsia="zh-cn" w:bidi="ar-sa"/>
    </w:rPr>
  </w:style>
  <w:style w:type="paragraph" w:styleId="para7">
    <w:name w:val="Balloon Text"/>
    <w:qFormat/>
    <w:basedOn w:val="para0"/>
    <w:rPr>
      <w:rFonts w:ascii="Segoe UI" w:hAnsi="Segoe UI"/>
      <w:sz w:val="18"/>
    </w:rPr>
  </w:style>
  <w:style w:type="paragraph" w:styleId="para8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9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  <w:lang w:val="ru-ru" w:eastAsia="zh-cn" w:bidi="ar-sa"/>
    </w:rPr>
  </w:style>
  <w:style w:type="paragraph" w:styleId="para10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  <w:lang w:val="ru-ru" w:eastAsia="zh-cn" w:bidi="ar-sa"/>
    </w:rPr>
  </w:style>
  <w:style w:type="paragraph" w:styleId="para11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zh-cn" w:bidi="ar-sa"/>
    </w:rPr>
  </w:style>
  <w:style w:type="paragraph" w:styleId="para12" w:customStyle="1">
    <w:name w:val="Гиперссылка"/>
    <w:qFormat/>
    <w:basedOn w:val="para6"/>
    <w:rPr>
      <w:color w:val="0563c1"/>
      <w:u w:color="auto" w:val="single"/>
    </w:rPr>
  </w:style>
  <w:style w:type="paragraph" w:styleId="para13" w:customStyle="1">
    <w:name w:val="Footnote"/>
    <w:qFormat/>
    <w:basedOn w:val="para0"/>
    <w:rPr>
      <w:rFonts w:ascii="Times New Roman" w:hAnsi="Times New Roman"/>
      <w:sz w:val="20"/>
    </w:rPr>
  </w:style>
  <w:style w:type="paragraph" w:styleId="para14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15" w:customStyle="1">
    <w:name w:val="Header and Footer"/>
    <w:qFormat/>
    <w:pPr>
      <w:spacing w:after="160"/>
      <w:jc w:val="both"/>
    </w:pPr>
    <w:rPr>
      <w:rFonts w:ascii="XO Thames" w:hAnsi="XO Thames"/>
      <w:color w:val="000000"/>
      <w:sz w:val="24"/>
      <w:lang w:val="ru-ru" w:eastAsia="zh-cn" w:bidi="ar-sa"/>
    </w:rPr>
  </w:style>
  <w:style w:type="paragraph" w:styleId="para16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7" w:customStyle="1">
    <w:name w:val="Unresolved Mention"/>
    <w:qFormat/>
    <w:basedOn w:val="para6"/>
    <w:rPr>
      <w:color w:val="605e5c"/>
      <w:shd w:val="clear" w:fill="e1dfdd"/>
    </w:rPr>
  </w:style>
  <w:style w:type="paragraph" w:styleId="para18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9" w:customStyle="1">
    <w:name w:val="Default"/>
    <w:qFormat/>
    <w:rPr>
      <w:rFonts w:ascii="Times New Roman" w:hAnsi="Times New Roman"/>
      <w:color w:val="000000"/>
      <w:sz w:val="24"/>
      <w:lang w:val="ru-ru" w:eastAsia="zh-cn" w:bidi="ar-sa"/>
    </w:rPr>
  </w:style>
  <w:style w:type="paragraph" w:styleId="para20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1">
    <w:name w:val="List Paragraph"/>
    <w:qFormat/>
    <w:basedOn w:val="para0"/>
    <w:pPr>
      <w:ind w:left="720"/>
      <w:contextualSpacing/>
    </w:pPr>
  </w:style>
  <w:style w:type="paragraph" w:styleId="para22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  <w:lang w:val="ru-ru" w:eastAsia="zh-cn" w:bidi="ar-sa"/>
    </w:rPr>
  </w:style>
  <w:style w:type="paragraph" w:styleId="para23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  <w:lang w:val="ru-ru" w:eastAsia="zh-cn" w:bidi="ar-sa"/>
    </w:rPr>
  </w:style>
  <w:style w:type="paragraph" w:styleId="para24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  <w:lang w:val="ru-ru" w:eastAsia="zh-cn" w:bidi="ar-sa"/>
    </w:rPr>
  </w:style>
  <w:style w:type="paragraph" w:styleId="para25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26">
    <w:name w:val="No Spacing"/>
    <w:qFormat/>
    <w:rPr>
      <w:rFonts w:ascii="Calibri" w:hAnsi="Calibri"/>
      <w:color w:val="000000"/>
      <w:sz w:val="22"/>
      <w:lang w:val="ru-ru" w:eastAsia="zh-cn" w:bidi="ar-sa"/>
    </w:rPr>
  </w:style>
  <w:style w:type="character" w:styleId="char0" w:default="1">
    <w:name w:val="Default Paragraph Font"/>
  </w:style>
  <w:style w:type="character" w:styleId="char1" w:customStyle="1">
    <w:name w:val="Оглавление 2"/>
    <w:rPr>
      <w:rFonts w:ascii="XO Thames" w:hAnsi="XO Thames"/>
      <w:sz w:val="28"/>
    </w:rPr>
  </w:style>
  <w:style w:type="character" w:styleId="char2" w:customStyle="1">
    <w:name w:val="Оглавление 4"/>
    <w:rPr>
      <w:rFonts w:ascii="XO Thames" w:hAnsi="XO Thames"/>
      <w:sz w:val="28"/>
    </w:rPr>
  </w:style>
  <w:style w:type="character" w:styleId="char3" w:customStyle="1">
    <w:name w:val="Оглавление 6"/>
    <w:rPr>
      <w:rFonts w:ascii="XO Thames" w:hAnsi="XO Thames"/>
      <w:sz w:val="28"/>
    </w:rPr>
  </w:style>
  <w:style w:type="character" w:styleId="char4" w:customStyle="1">
    <w:name w:val="Оглавление 7"/>
    <w:rPr>
      <w:rFonts w:ascii="XO Thames" w:hAnsi="XO Thames"/>
      <w:sz w:val="28"/>
    </w:rPr>
  </w:style>
  <w:style w:type="character" w:styleId="char5" w:customStyle="1">
    <w:name w:val="Заголовок 3"/>
    <w:rPr>
      <w:rFonts w:ascii="XO Thames" w:hAnsi="XO Thames"/>
      <w:b/>
      <w:sz w:val="26"/>
    </w:rPr>
  </w:style>
  <w:style w:type="character" w:styleId="char6" w:customStyle="1">
    <w:name w:val="Текст выноски"/>
    <w:basedOnNormal/>
    <w:rPr>
      <w:rFonts w:ascii="Segoe UI" w:hAnsi="Segoe UI"/>
      <w:sz w:val="18"/>
    </w:rPr>
  </w:style>
  <w:style w:type="character" w:styleId="char7" w:customStyle="1">
    <w:name w:val="Оглавление 3"/>
    <w:rPr>
      <w:rFonts w:ascii="XO Thames" w:hAnsi="XO Thames"/>
      <w:sz w:val="28"/>
    </w:rPr>
  </w:style>
  <w:style w:type="character" w:styleId="char8">
    <w:name w:val="Footnote Reference"/>
    <w:rPr>
      <w:vertAlign w:val="superscript"/>
    </w:rPr>
  </w:style>
  <w:style w:type="character" w:styleId="char9" w:customStyle="1">
    <w:name w:val="Заголовок 5"/>
    <w:rPr>
      <w:rFonts w:ascii="XO Thames" w:hAnsi="XO Thames"/>
      <w:b/>
      <w:sz w:val="22"/>
    </w:rPr>
  </w:style>
  <w:style w:type="character" w:styleId="char10" w:customStyle="1">
    <w:name w:val="Заголовок 1"/>
    <w:rPr>
      <w:rFonts w:ascii="XO Thames" w:hAnsi="XO Thames"/>
      <w:b/>
      <w:sz w:val="32"/>
    </w:rPr>
  </w:style>
  <w:style w:type="character" w:styleId="char11">
    <w:name w:val="Hyperlink"/>
    <w:basedOn w:val="char0"/>
    <w:rPr>
      <w:color w:val="0563c1"/>
      <w:u w:color="auto" w:val="single"/>
    </w:rPr>
  </w:style>
  <w:style w:type="character" w:styleId="char12" w:customStyle="1">
    <w:name w:val="Footnote"/>
    <w:basedOnNormal/>
    <w:rPr>
      <w:rFonts w:ascii="Times New Roman" w:hAnsi="Times New Roman"/>
      <w:sz w:val="20"/>
    </w:rPr>
  </w:style>
  <w:style w:type="character" w:styleId="char13" w:customStyle="1">
    <w:name w:val="Оглавление 1"/>
    <w:rPr>
      <w:rFonts w:ascii="XO Thames" w:hAnsi="XO Thames"/>
      <w:b/>
      <w:sz w:val="28"/>
    </w:rPr>
  </w:style>
  <w:style w:type="character" w:styleId="char14" w:customStyle="1">
    <w:name w:val="Header and Footer"/>
    <w:rPr>
      <w:rFonts w:ascii="XO Thames" w:hAnsi="XO Thames"/>
      <w:sz w:val="20"/>
    </w:rPr>
  </w:style>
  <w:style w:type="character" w:styleId="char15" w:customStyle="1">
    <w:name w:val="Оглавление 9"/>
    <w:rPr>
      <w:rFonts w:ascii="XO Thames" w:hAnsi="XO Thames"/>
      <w:sz w:val="28"/>
    </w:rPr>
  </w:style>
  <w:style w:type="character" w:styleId="char16" w:customStyle="1">
    <w:name w:val="Unresolved Mention"/>
    <w:basedOn w:val="char0"/>
    <w:rPr>
      <w:color w:val="605e5c"/>
      <w:shd w:val="clear" w:fill="e1dfdd"/>
    </w:rPr>
  </w:style>
  <w:style w:type="character" w:styleId="char17" w:customStyle="1">
    <w:name w:val="Оглавление 8"/>
    <w:rPr>
      <w:rFonts w:ascii="XO Thames" w:hAnsi="XO Thames"/>
      <w:sz w:val="28"/>
    </w:rPr>
  </w:style>
  <w:style w:type="character" w:styleId="char18" w:customStyle="1">
    <w:name w:val="Default"/>
    <w:rPr>
      <w:rFonts w:ascii="Times New Roman" w:hAnsi="Times New Roman"/>
      <w:color w:val="000000"/>
      <w:sz w:val="24"/>
    </w:rPr>
  </w:style>
  <w:style w:type="character" w:styleId="char19" w:customStyle="1">
    <w:name w:val="Оглавление 5"/>
    <w:rPr>
      <w:rFonts w:ascii="XO Thames" w:hAnsi="XO Thames"/>
      <w:sz w:val="28"/>
    </w:rPr>
  </w:style>
  <w:style w:type="character" w:styleId="char20" w:customStyle="1">
    <w:name w:val="Абзац списка"/>
    <w:basedOnNormal/>
  </w:style>
  <w:style w:type="character" w:styleId="char21" w:customStyle="1">
    <w:name w:val="Подзаголовок"/>
    <w:rPr>
      <w:rFonts w:ascii="XO Thames" w:hAnsi="XO Thames"/>
      <w:i/>
      <w:sz w:val="24"/>
    </w:rPr>
  </w:style>
  <w:style w:type="character" w:styleId="char22" w:customStyle="1">
    <w:name w:val="Название"/>
    <w:rPr>
      <w:rFonts w:ascii="XO Thames" w:hAnsi="XO Thames"/>
      <w:b/>
      <w:caps/>
      <w:sz w:val="40"/>
    </w:rPr>
  </w:style>
  <w:style w:type="character" w:styleId="char23" w:customStyle="1">
    <w:name w:val="Заголовок 4"/>
    <w:rPr>
      <w:rFonts w:ascii="XO Thames" w:hAnsi="XO Thames"/>
      <w:b/>
      <w:sz w:val="24"/>
    </w:rPr>
  </w:style>
  <w:style w:type="character" w:styleId="char24" w:customStyle="1">
    <w:name w:val="Заголовок 2"/>
    <w:rPr>
      <w:rFonts w:ascii="XO Thames" w:hAnsi="XO Thames"/>
      <w:b/>
      <w:sz w:val="28"/>
    </w:rPr>
  </w:style>
  <w:style w:type="character" w:styleId="char25" w:customStyle="1">
    <w:name w:val="Без интервала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3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4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5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  <w:lang w:val="ru-ru" w:eastAsia="zh-cn" w:bidi="ar-sa"/>
    </w:rPr>
  </w:style>
  <w:style w:type="paragraph" w:styleId="para6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  <w:lang w:val="ru-ru" w:eastAsia="zh-cn" w:bidi="ar-sa"/>
    </w:rPr>
  </w:style>
  <w:style w:type="paragraph" w:styleId="para7">
    <w:name w:val="Balloon Text"/>
    <w:qFormat/>
    <w:basedOn w:val="para0"/>
    <w:rPr>
      <w:rFonts w:ascii="Segoe UI" w:hAnsi="Segoe UI"/>
      <w:sz w:val="18"/>
    </w:rPr>
  </w:style>
  <w:style w:type="paragraph" w:styleId="para8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9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  <w:lang w:val="ru-ru" w:eastAsia="zh-cn" w:bidi="ar-sa"/>
    </w:rPr>
  </w:style>
  <w:style w:type="paragraph" w:styleId="para10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  <w:lang w:val="ru-ru" w:eastAsia="zh-cn" w:bidi="ar-sa"/>
    </w:rPr>
  </w:style>
  <w:style w:type="paragraph" w:styleId="para11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zh-cn" w:bidi="ar-sa"/>
    </w:rPr>
  </w:style>
  <w:style w:type="paragraph" w:styleId="para12" w:customStyle="1">
    <w:name w:val="Гиперссылка"/>
    <w:qFormat/>
    <w:basedOn w:val="para6"/>
    <w:rPr>
      <w:color w:val="0563c1"/>
      <w:u w:color="auto" w:val="single"/>
    </w:rPr>
  </w:style>
  <w:style w:type="paragraph" w:styleId="para13" w:customStyle="1">
    <w:name w:val="Footnote"/>
    <w:qFormat/>
    <w:basedOn w:val="para0"/>
    <w:rPr>
      <w:rFonts w:ascii="Times New Roman" w:hAnsi="Times New Roman"/>
      <w:sz w:val="20"/>
    </w:rPr>
  </w:style>
  <w:style w:type="paragraph" w:styleId="para14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15" w:customStyle="1">
    <w:name w:val="Header and Footer"/>
    <w:qFormat/>
    <w:pPr>
      <w:spacing w:after="160"/>
      <w:jc w:val="both"/>
    </w:pPr>
    <w:rPr>
      <w:rFonts w:ascii="XO Thames" w:hAnsi="XO Thames"/>
      <w:color w:val="000000"/>
      <w:sz w:val="24"/>
      <w:lang w:val="ru-ru" w:eastAsia="zh-cn" w:bidi="ar-sa"/>
    </w:rPr>
  </w:style>
  <w:style w:type="paragraph" w:styleId="para16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7" w:customStyle="1">
    <w:name w:val="Unresolved Mention"/>
    <w:qFormat/>
    <w:basedOn w:val="para6"/>
    <w:rPr>
      <w:color w:val="605e5c"/>
      <w:shd w:val="clear" w:fill="e1dfdd"/>
    </w:rPr>
  </w:style>
  <w:style w:type="paragraph" w:styleId="para18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9" w:customStyle="1">
    <w:name w:val="Default"/>
    <w:qFormat/>
    <w:rPr>
      <w:rFonts w:ascii="Times New Roman" w:hAnsi="Times New Roman"/>
      <w:color w:val="000000"/>
      <w:sz w:val="24"/>
      <w:lang w:val="ru-ru" w:eastAsia="zh-cn" w:bidi="ar-sa"/>
    </w:rPr>
  </w:style>
  <w:style w:type="paragraph" w:styleId="para20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1">
    <w:name w:val="List Paragraph"/>
    <w:qFormat/>
    <w:basedOn w:val="para0"/>
    <w:pPr>
      <w:ind w:left="720"/>
      <w:contextualSpacing/>
    </w:pPr>
  </w:style>
  <w:style w:type="paragraph" w:styleId="para22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  <w:lang w:val="ru-ru" w:eastAsia="zh-cn" w:bidi="ar-sa"/>
    </w:rPr>
  </w:style>
  <w:style w:type="paragraph" w:styleId="para23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  <w:lang w:val="ru-ru" w:eastAsia="zh-cn" w:bidi="ar-sa"/>
    </w:rPr>
  </w:style>
  <w:style w:type="paragraph" w:styleId="para24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  <w:lang w:val="ru-ru" w:eastAsia="zh-cn" w:bidi="ar-sa"/>
    </w:rPr>
  </w:style>
  <w:style w:type="paragraph" w:styleId="para25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26">
    <w:name w:val="No Spacing"/>
    <w:qFormat/>
    <w:rPr>
      <w:rFonts w:ascii="Calibri" w:hAnsi="Calibri"/>
      <w:color w:val="000000"/>
      <w:sz w:val="22"/>
      <w:lang w:val="ru-ru" w:eastAsia="zh-cn" w:bidi="ar-sa"/>
    </w:rPr>
  </w:style>
  <w:style w:type="character" w:styleId="char0" w:default="1">
    <w:name w:val="Default Paragraph Font"/>
  </w:style>
  <w:style w:type="character" w:styleId="char1" w:customStyle="1">
    <w:name w:val="Оглавление 2"/>
    <w:rPr>
      <w:rFonts w:ascii="XO Thames" w:hAnsi="XO Thames"/>
      <w:sz w:val="28"/>
    </w:rPr>
  </w:style>
  <w:style w:type="character" w:styleId="char2" w:customStyle="1">
    <w:name w:val="Оглавление 4"/>
    <w:rPr>
      <w:rFonts w:ascii="XO Thames" w:hAnsi="XO Thames"/>
      <w:sz w:val="28"/>
    </w:rPr>
  </w:style>
  <w:style w:type="character" w:styleId="char3" w:customStyle="1">
    <w:name w:val="Оглавление 6"/>
    <w:rPr>
      <w:rFonts w:ascii="XO Thames" w:hAnsi="XO Thames"/>
      <w:sz w:val="28"/>
    </w:rPr>
  </w:style>
  <w:style w:type="character" w:styleId="char4" w:customStyle="1">
    <w:name w:val="Оглавление 7"/>
    <w:rPr>
      <w:rFonts w:ascii="XO Thames" w:hAnsi="XO Thames"/>
      <w:sz w:val="28"/>
    </w:rPr>
  </w:style>
  <w:style w:type="character" w:styleId="char5" w:customStyle="1">
    <w:name w:val="Заголовок 3"/>
    <w:rPr>
      <w:rFonts w:ascii="XO Thames" w:hAnsi="XO Thames"/>
      <w:b/>
      <w:sz w:val="26"/>
    </w:rPr>
  </w:style>
  <w:style w:type="character" w:styleId="char6" w:customStyle="1">
    <w:name w:val="Текст выноски"/>
    <w:basedOnNormal/>
    <w:rPr>
      <w:rFonts w:ascii="Segoe UI" w:hAnsi="Segoe UI"/>
      <w:sz w:val="18"/>
    </w:rPr>
  </w:style>
  <w:style w:type="character" w:styleId="char7" w:customStyle="1">
    <w:name w:val="Оглавление 3"/>
    <w:rPr>
      <w:rFonts w:ascii="XO Thames" w:hAnsi="XO Thames"/>
      <w:sz w:val="28"/>
    </w:rPr>
  </w:style>
  <w:style w:type="character" w:styleId="char8">
    <w:name w:val="Footnote Reference"/>
    <w:rPr>
      <w:vertAlign w:val="superscript"/>
    </w:rPr>
  </w:style>
  <w:style w:type="character" w:styleId="char9" w:customStyle="1">
    <w:name w:val="Заголовок 5"/>
    <w:rPr>
      <w:rFonts w:ascii="XO Thames" w:hAnsi="XO Thames"/>
      <w:b/>
      <w:sz w:val="22"/>
    </w:rPr>
  </w:style>
  <w:style w:type="character" w:styleId="char10" w:customStyle="1">
    <w:name w:val="Заголовок 1"/>
    <w:rPr>
      <w:rFonts w:ascii="XO Thames" w:hAnsi="XO Thames"/>
      <w:b/>
      <w:sz w:val="32"/>
    </w:rPr>
  </w:style>
  <w:style w:type="character" w:styleId="char11">
    <w:name w:val="Hyperlink"/>
    <w:basedOn w:val="char0"/>
    <w:rPr>
      <w:color w:val="0563c1"/>
      <w:u w:color="auto" w:val="single"/>
    </w:rPr>
  </w:style>
  <w:style w:type="character" w:styleId="char12" w:customStyle="1">
    <w:name w:val="Footnote"/>
    <w:basedOnNormal/>
    <w:rPr>
      <w:rFonts w:ascii="Times New Roman" w:hAnsi="Times New Roman"/>
      <w:sz w:val="20"/>
    </w:rPr>
  </w:style>
  <w:style w:type="character" w:styleId="char13" w:customStyle="1">
    <w:name w:val="Оглавление 1"/>
    <w:rPr>
      <w:rFonts w:ascii="XO Thames" w:hAnsi="XO Thames"/>
      <w:b/>
      <w:sz w:val="28"/>
    </w:rPr>
  </w:style>
  <w:style w:type="character" w:styleId="char14" w:customStyle="1">
    <w:name w:val="Header and Footer"/>
    <w:rPr>
      <w:rFonts w:ascii="XO Thames" w:hAnsi="XO Thames"/>
      <w:sz w:val="20"/>
    </w:rPr>
  </w:style>
  <w:style w:type="character" w:styleId="char15" w:customStyle="1">
    <w:name w:val="Оглавление 9"/>
    <w:rPr>
      <w:rFonts w:ascii="XO Thames" w:hAnsi="XO Thames"/>
      <w:sz w:val="28"/>
    </w:rPr>
  </w:style>
  <w:style w:type="character" w:styleId="char16" w:customStyle="1">
    <w:name w:val="Unresolved Mention"/>
    <w:basedOn w:val="char0"/>
    <w:rPr>
      <w:color w:val="605e5c"/>
      <w:shd w:val="clear" w:fill="e1dfdd"/>
    </w:rPr>
  </w:style>
  <w:style w:type="character" w:styleId="char17" w:customStyle="1">
    <w:name w:val="Оглавление 8"/>
    <w:rPr>
      <w:rFonts w:ascii="XO Thames" w:hAnsi="XO Thames"/>
      <w:sz w:val="28"/>
    </w:rPr>
  </w:style>
  <w:style w:type="character" w:styleId="char18" w:customStyle="1">
    <w:name w:val="Default"/>
    <w:rPr>
      <w:rFonts w:ascii="Times New Roman" w:hAnsi="Times New Roman"/>
      <w:color w:val="000000"/>
      <w:sz w:val="24"/>
    </w:rPr>
  </w:style>
  <w:style w:type="character" w:styleId="char19" w:customStyle="1">
    <w:name w:val="Оглавление 5"/>
    <w:rPr>
      <w:rFonts w:ascii="XO Thames" w:hAnsi="XO Thames"/>
      <w:sz w:val="28"/>
    </w:rPr>
  </w:style>
  <w:style w:type="character" w:styleId="char20" w:customStyle="1">
    <w:name w:val="Абзац списка"/>
    <w:basedOnNormal/>
  </w:style>
  <w:style w:type="character" w:styleId="char21" w:customStyle="1">
    <w:name w:val="Подзаголовок"/>
    <w:rPr>
      <w:rFonts w:ascii="XO Thames" w:hAnsi="XO Thames"/>
      <w:i/>
      <w:sz w:val="24"/>
    </w:rPr>
  </w:style>
  <w:style w:type="character" w:styleId="char22" w:customStyle="1">
    <w:name w:val="Название"/>
    <w:rPr>
      <w:rFonts w:ascii="XO Thames" w:hAnsi="XO Thames"/>
      <w:b/>
      <w:caps/>
      <w:sz w:val="40"/>
    </w:rPr>
  </w:style>
  <w:style w:type="character" w:styleId="char23" w:customStyle="1">
    <w:name w:val="Заголовок 4"/>
    <w:rPr>
      <w:rFonts w:ascii="XO Thames" w:hAnsi="XO Thames"/>
      <w:b/>
      <w:sz w:val="24"/>
    </w:rPr>
  </w:style>
  <w:style w:type="character" w:styleId="char24" w:customStyle="1">
    <w:name w:val="Заголовок 2"/>
    <w:rPr>
      <w:rFonts w:ascii="XO Thames" w:hAnsi="XO Thames"/>
      <w:b/>
      <w:sz w:val="28"/>
    </w:rPr>
  </w:style>
  <w:style w:type="character" w:styleId="char25" w:customStyle="1">
    <w:name w:val="Без интервала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footnotes" Target="footnotes.xml"/><Relationship Id="rId8" Type="http://schemas.openxmlformats.org/officeDocument/2006/relationships/hyperlink" Target="mailto:upp@anzhero.ru" TargetMode="External"/><Relationship Id="rId9" Type="http://schemas.openxmlformats.org/officeDocument/2006/relationships/hyperlink" Target="mailto:promotdel@anzhero.ru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Basic Roman"/>
        <a:cs typeface="Basic Roman"/>
      </a:majorFont>
      <a:minorFont>
        <a:latin typeface="Arial"/>
        <a:ea typeface="Basic Roman"/>
        <a:cs typeface="Basic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2025-10-14T08:43:50Z</dcterms:created>
  <dcterms:modified xsi:type="dcterms:W3CDTF">2026-03-17T09:36:26Z</dcterms:modified>
</cp:coreProperties>
</file>